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49" w:rsidRDefault="00A447C3">
      <w:pPr>
        <w:spacing w:after="240"/>
        <w:jc w:val="center"/>
        <w:rPr>
          <w:rFonts w:ascii="Times New Roman" w:eastAsia="Times New Roman" w:hAnsi="Times New Roman" w:cs="Times New Roman"/>
          <w:b/>
          <w:sz w:val="34"/>
          <w:szCs w:val="34"/>
          <w:highlight w:val="white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highlight w:val="white"/>
        </w:rPr>
        <w:t>Mores pamatskolas interešu izglītības programmas</w:t>
      </w:r>
    </w:p>
    <w:p w:rsidR="000B0B49" w:rsidRDefault="00A447C3">
      <w:pPr>
        <w:spacing w:after="240"/>
        <w:jc w:val="center"/>
        <w:rPr>
          <w:rFonts w:ascii="Times New Roman" w:eastAsia="Times New Roman" w:hAnsi="Times New Roman" w:cs="Times New Roman"/>
          <w:b/>
          <w:sz w:val="34"/>
          <w:szCs w:val="34"/>
          <w:highlight w:val="white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highlight w:val="white"/>
        </w:rPr>
        <w:t>2022./2023.m.g.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1410"/>
        <w:gridCol w:w="1410"/>
        <w:gridCol w:w="1410"/>
        <w:gridCol w:w="1410"/>
        <w:gridCol w:w="1410"/>
      </w:tblGrid>
      <w:tr w:rsidR="000B0B49">
        <w:trPr>
          <w:trHeight w:val="425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49" w:rsidRDefault="00A447C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Interešu izglītības programma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Pirmdiena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Otrdiena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Trešdiena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Ceturtdiena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Piektdiena</w:t>
            </w:r>
          </w:p>
        </w:tc>
      </w:tr>
      <w:tr w:rsidR="000B0B49">
        <w:trPr>
          <w:trHeight w:val="630"/>
        </w:trPr>
        <w:tc>
          <w:tcPr>
            <w:tcW w:w="1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49" w:rsidRDefault="00A447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Sporta pulciņš ’’VFS’’</w:t>
            </w:r>
          </w:p>
          <w:p w:rsidR="000B0B49" w:rsidRDefault="00A447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1.-4.kl.</w:t>
            </w:r>
          </w:p>
          <w:p w:rsidR="000B0B49" w:rsidRDefault="00A447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Zebuliņa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14:00-15:30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0B49">
        <w:trPr>
          <w:trHeight w:val="630"/>
        </w:trPr>
        <w:tc>
          <w:tcPr>
            <w:tcW w:w="1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49" w:rsidRDefault="00A447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Robotika</w:t>
            </w:r>
          </w:p>
          <w:p w:rsidR="000B0B49" w:rsidRDefault="00A447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1.-2.kl.</w:t>
            </w:r>
          </w:p>
          <w:p w:rsidR="000B0B49" w:rsidRDefault="00A447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S. Some Feldmane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14:45-16:05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0B0B4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0B49">
        <w:trPr>
          <w:trHeight w:val="630"/>
        </w:trPr>
        <w:tc>
          <w:tcPr>
            <w:tcW w:w="1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49" w:rsidRDefault="00A447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Robotika</w:t>
            </w:r>
          </w:p>
          <w:p w:rsidR="000B0B49" w:rsidRDefault="00A447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3.-7.kl.</w:t>
            </w:r>
          </w:p>
          <w:p w:rsidR="000B0B49" w:rsidRDefault="00A447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I. Saulīte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14:00 – 15:30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0B49">
        <w:trPr>
          <w:trHeight w:val="837"/>
        </w:trPr>
        <w:tc>
          <w:tcPr>
            <w:tcW w:w="1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49" w:rsidRDefault="00A447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“Scottie Go” loģiskās domāšanas un programmēšanas pamati</w:t>
            </w:r>
          </w:p>
          <w:p w:rsidR="000B0B49" w:rsidRDefault="00A447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1.-4.kl.</w:t>
            </w:r>
          </w:p>
          <w:p w:rsidR="000B0B49" w:rsidRDefault="00A447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K.Grīnbergs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0B0B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14:45-16:10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</w:tr>
      <w:tr w:rsidR="000B0B49">
        <w:trPr>
          <w:trHeight w:val="837"/>
        </w:trPr>
        <w:tc>
          <w:tcPr>
            <w:tcW w:w="1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Mājsaimniecības pulciņš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"Ēd veselīgi"</w:t>
            </w:r>
          </w:p>
          <w:p w:rsidR="000B0B49" w:rsidRDefault="00A44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1.-7.kl</w:t>
            </w:r>
          </w:p>
          <w:p w:rsidR="000B0B49" w:rsidRDefault="00A44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S.Laizāne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0B0B49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0B0B49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0B0B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14:30-16:30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0B0B49">
            <w:pPr>
              <w:spacing w:before="24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0B0B49">
        <w:trPr>
          <w:trHeight w:val="837"/>
        </w:trPr>
        <w:tc>
          <w:tcPr>
            <w:tcW w:w="1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Tautiskās dejas</w:t>
            </w:r>
          </w:p>
          <w:p w:rsidR="000B0B49" w:rsidRDefault="00A44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1-.2.kl</w:t>
            </w:r>
          </w:p>
          <w:p w:rsidR="000B0B49" w:rsidRDefault="00A44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S.Laizāne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A447C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15.00-16.20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0B0B49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0B0B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0B0B49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49" w:rsidRDefault="000B0B49">
            <w:pPr>
              <w:spacing w:before="24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0B0B49" w:rsidRDefault="00A447C3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Iesnieguma anketas interešu izglītības programmām pieejamas pie klašu audzinātājiem! </w:t>
      </w:r>
    </w:p>
    <w:p w:rsidR="000B0B49" w:rsidRDefault="00A447C3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Nodarbības sāksies uzreiz, pēc grupas nokoplektēšanas (minimālais skolēnu skaits 8). </w:t>
      </w:r>
    </w:p>
    <w:p w:rsidR="00A447C3" w:rsidRDefault="00A447C3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447C3" w:rsidRDefault="00A447C3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447C3" w:rsidRDefault="00A447C3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447C3" w:rsidRDefault="00A447C3" w:rsidP="00A447C3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47C3" w:rsidRPr="007A4E9C" w:rsidRDefault="00A447C3" w:rsidP="00A447C3">
      <w:pPr>
        <w:pStyle w:val="Sarakstarindkopa1"/>
        <w:spacing w:after="0" w:line="240" w:lineRule="auto"/>
        <w:ind w:left="1080"/>
        <w:jc w:val="center"/>
        <w:rPr>
          <w:rFonts w:asciiTheme="minorHAnsi" w:hAnsiTheme="minorHAnsi" w:cstheme="minorHAnsi"/>
          <w:b/>
          <w:sz w:val="28"/>
        </w:rPr>
      </w:pPr>
      <w:r w:rsidRPr="007A4E9C">
        <w:rPr>
          <w:rFonts w:asciiTheme="minorHAnsi" w:hAnsiTheme="minorHAnsi" w:cstheme="minorHAnsi"/>
          <w:b/>
          <w:sz w:val="28"/>
        </w:rPr>
        <w:lastRenderedPageBreak/>
        <w:t>INTEREŠU IZGLĪTĪBA</w:t>
      </w:r>
    </w:p>
    <w:p w:rsidR="00A447C3" w:rsidRDefault="00A447C3" w:rsidP="00A447C3">
      <w:pPr>
        <w:pStyle w:val="Sarakstarindkopa1"/>
        <w:spacing w:after="0" w:line="240" w:lineRule="auto"/>
        <w:ind w:left="1080"/>
        <w:jc w:val="both"/>
        <w:rPr>
          <w:rFonts w:asciiTheme="minorHAnsi" w:hAnsiTheme="minorHAnsi" w:cstheme="minorHAnsi"/>
          <w:b/>
        </w:rPr>
      </w:pPr>
    </w:p>
    <w:p w:rsidR="00A447C3" w:rsidRPr="007A4E9C" w:rsidRDefault="00A447C3" w:rsidP="00A447C3">
      <w:pPr>
        <w:pStyle w:val="Sarakstarindkopa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7A4E9C">
        <w:rPr>
          <w:rFonts w:asciiTheme="minorHAnsi" w:hAnsiTheme="minorHAnsi" w:cstheme="minorHAnsi"/>
          <w:b/>
        </w:rPr>
        <w:t>„Robotika” 3.-7.kl</w:t>
      </w:r>
      <w:r>
        <w:rPr>
          <w:rFonts w:asciiTheme="minorHAnsi" w:hAnsiTheme="minorHAnsi" w:cstheme="minorHAnsi"/>
          <w:b/>
        </w:rPr>
        <w:t>.</w:t>
      </w:r>
    </w:p>
    <w:p w:rsidR="00A447C3" w:rsidRPr="007A4E9C" w:rsidRDefault="00A447C3" w:rsidP="00A447C3">
      <w:pPr>
        <w:pStyle w:val="Sarakstarindkopa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Pulciņš</w:t>
      </w:r>
      <w:r w:rsidRPr="007A4E9C">
        <w:rPr>
          <w:rFonts w:asciiTheme="minorHAnsi" w:hAnsiTheme="minorHAnsi" w:cstheme="minorHAnsi"/>
        </w:rPr>
        <w:t xml:space="preserve"> paredzēta vidējo pamatskolas klašu skolēniem, lai veicinātu viņu algoritmiskās domāšanas, radošuma, telpiskās iztēles un neatlaidības attīstību, lai rosinātu tos meklēt risinājumus, sadarboties.  Darba forma - radoši uzdevumi</w:t>
      </w:r>
      <w:r>
        <w:rPr>
          <w:rFonts w:asciiTheme="minorHAnsi" w:hAnsiTheme="minorHAnsi" w:cstheme="minorHAnsi"/>
        </w:rPr>
        <w:t xml:space="preserve"> ar LegoWeDo un Lego EV3 robotiem</w:t>
      </w:r>
      <w:r w:rsidRPr="007A4E9C">
        <w:rPr>
          <w:rFonts w:asciiTheme="minorHAnsi" w:hAnsiTheme="minorHAnsi" w:cstheme="minorHAnsi"/>
        </w:rPr>
        <w:t>, ievērojot izglītojamo individuālās īpatnības un vēlmes.</w:t>
      </w:r>
      <w:r>
        <w:rPr>
          <w:rFonts w:asciiTheme="minorHAnsi" w:hAnsiTheme="minorHAnsi" w:cstheme="minorHAnsi"/>
        </w:rPr>
        <w:t xml:space="preserve"> </w:t>
      </w:r>
    </w:p>
    <w:p w:rsidR="00A447C3" w:rsidRPr="007A4E9C" w:rsidRDefault="00A447C3" w:rsidP="00A447C3">
      <w:pPr>
        <w:pStyle w:val="Sarakstarindkopa1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</w:rPr>
      </w:pPr>
    </w:p>
    <w:p w:rsidR="00A447C3" w:rsidRPr="007A4E9C" w:rsidRDefault="00A447C3" w:rsidP="00A447C3">
      <w:pPr>
        <w:pStyle w:val="Sarakstarindkopa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7A4E9C">
        <w:rPr>
          <w:rFonts w:asciiTheme="minorHAnsi" w:hAnsiTheme="minorHAnsi" w:cstheme="minorHAnsi"/>
          <w:b/>
          <w:bCs/>
        </w:rPr>
        <w:t>‘’VFS’’-1.-4.kl</w:t>
      </w:r>
      <w:r w:rsidRPr="007A4E9C">
        <w:rPr>
          <w:rFonts w:asciiTheme="minorHAnsi" w:hAnsiTheme="minorHAnsi" w:cstheme="minorHAnsi"/>
        </w:rPr>
        <w:t>.</w:t>
      </w:r>
    </w:p>
    <w:p w:rsidR="00A447C3" w:rsidRPr="007A4E9C" w:rsidRDefault="00A447C3" w:rsidP="00A447C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Pulciņā tiek īstenotas d</w:t>
      </w:r>
      <w:r w:rsidRPr="007A4E9C">
        <w:rPr>
          <w:rFonts w:cstheme="minorHAnsi"/>
        </w:rPr>
        <w:t>ažādas spēles un cita veida fiziskās aktivitātes</w:t>
      </w:r>
      <w:r>
        <w:rPr>
          <w:rFonts w:cstheme="minorHAnsi"/>
        </w:rPr>
        <w:t>, kas</w:t>
      </w:r>
      <w:r w:rsidRPr="007A4E9C">
        <w:rPr>
          <w:rFonts w:cstheme="minorHAnsi"/>
        </w:rPr>
        <w:t xml:space="preserve"> dod iespēju </w:t>
      </w:r>
      <w:r>
        <w:rPr>
          <w:rFonts w:cstheme="minorHAnsi"/>
        </w:rPr>
        <w:t>skolēniem</w:t>
      </w:r>
      <w:r w:rsidRPr="007A4E9C">
        <w:rPr>
          <w:rFonts w:cstheme="minorHAnsi"/>
        </w:rPr>
        <w:t xml:space="preserve"> pierādīt sevi un iegūt pārliecību par sevi, iepazīt panākumu sajūtu un sociāli integrēties grupā. </w:t>
      </w:r>
      <w:r>
        <w:rPr>
          <w:rFonts w:cstheme="minorHAnsi"/>
        </w:rPr>
        <w:t>Galvenie uzdevumi ir r</w:t>
      </w:r>
      <w:r w:rsidRPr="007A4E9C">
        <w:rPr>
          <w:rFonts w:cstheme="minorHAnsi"/>
        </w:rPr>
        <w:t xml:space="preserve">adīt motivāciju </w:t>
      </w:r>
      <w:r>
        <w:rPr>
          <w:rFonts w:cstheme="minorHAnsi"/>
        </w:rPr>
        <w:t>savu fizisko spēju izkopšanai un v</w:t>
      </w:r>
      <w:r w:rsidRPr="007A4E9C">
        <w:rPr>
          <w:rFonts w:cstheme="minorHAnsi"/>
        </w:rPr>
        <w:t xml:space="preserve">eicināt </w:t>
      </w:r>
      <w:r>
        <w:rPr>
          <w:rFonts w:cstheme="minorHAnsi"/>
        </w:rPr>
        <w:t>skolēnu</w:t>
      </w:r>
      <w:r w:rsidRPr="007A4E9C">
        <w:rPr>
          <w:rFonts w:cstheme="minorHAnsi"/>
        </w:rPr>
        <w:t xml:space="preserve"> vispusīgo fizisko sagatavotību, attīstīt ātrumu, spēku, lokanību, veiklību, koordināciju un izturību.</w:t>
      </w:r>
    </w:p>
    <w:p w:rsidR="00A447C3" w:rsidRPr="007A4E9C" w:rsidRDefault="00A447C3" w:rsidP="00A447C3">
      <w:pPr>
        <w:pStyle w:val="Sarakstarindkopa1"/>
        <w:spacing w:after="0" w:line="240" w:lineRule="auto"/>
        <w:ind w:left="1080"/>
        <w:jc w:val="both"/>
        <w:rPr>
          <w:rFonts w:asciiTheme="minorHAnsi" w:hAnsiTheme="minorHAnsi" w:cstheme="minorHAnsi"/>
          <w:b/>
        </w:rPr>
      </w:pPr>
    </w:p>
    <w:p w:rsidR="00A447C3" w:rsidRPr="007A4E9C" w:rsidRDefault="00A447C3" w:rsidP="00A447C3">
      <w:pPr>
        <w:pStyle w:val="Sarakstarindkopa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7A4E9C">
        <w:rPr>
          <w:rFonts w:asciiTheme="minorHAnsi" w:hAnsiTheme="minorHAnsi" w:cstheme="minorHAnsi"/>
          <w:b/>
        </w:rPr>
        <w:t>„Robotika” 1.-2.kl</w:t>
      </w:r>
      <w:r>
        <w:rPr>
          <w:rFonts w:asciiTheme="minorHAnsi" w:hAnsiTheme="minorHAnsi" w:cstheme="minorHAnsi"/>
          <w:b/>
        </w:rPr>
        <w:t>.</w:t>
      </w:r>
    </w:p>
    <w:p w:rsidR="00A447C3" w:rsidRPr="007A4E9C" w:rsidRDefault="00A447C3" w:rsidP="00A447C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Pulciņš, kurā tiek attīstīts skolēna iztēle</w:t>
      </w:r>
      <w:r w:rsidRPr="007A4E9C">
        <w:rPr>
          <w:rFonts w:cstheme="minorHAnsi"/>
        </w:rPr>
        <w:t>, lo</w:t>
      </w:r>
      <w:r>
        <w:rPr>
          <w:rFonts w:cstheme="minorHAnsi"/>
        </w:rPr>
        <w:t>ģiskā un tehniskā</w:t>
      </w:r>
      <w:r w:rsidRPr="007A4E9C">
        <w:rPr>
          <w:rFonts w:cstheme="minorHAnsi"/>
        </w:rPr>
        <w:t xml:space="preserve"> domāšan</w:t>
      </w:r>
      <w:r>
        <w:rPr>
          <w:rFonts w:cstheme="minorHAnsi"/>
        </w:rPr>
        <w:t>a, tiek apgūti programmēšanas pamati, izprasti algoritmi un to dažādība. U</w:t>
      </w:r>
      <w:r w:rsidRPr="007A4E9C">
        <w:rPr>
          <w:rFonts w:cstheme="minorHAnsi"/>
        </w:rPr>
        <w:t>zdevumi</w:t>
      </w:r>
      <w:r>
        <w:rPr>
          <w:rFonts w:cstheme="minorHAnsi"/>
        </w:rPr>
        <w:t xml:space="preserve"> ar LegoWeDo robotiem. </w:t>
      </w:r>
    </w:p>
    <w:p w:rsidR="00A447C3" w:rsidRPr="007A4E9C" w:rsidRDefault="00A447C3" w:rsidP="00A447C3">
      <w:pPr>
        <w:pStyle w:val="Sarakstarindkopa1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447C3" w:rsidRPr="007A4E9C" w:rsidRDefault="00A447C3" w:rsidP="00A447C3">
      <w:pPr>
        <w:pStyle w:val="Sarakstarindkopa1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7A4E9C">
        <w:rPr>
          <w:rFonts w:asciiTheme="minorHAnsi" w:hAnsiTheme="minorHAnsi" w:cstheme="minorHAnsi"/>
          <w:b/>
          <w:bCs/>
          <w:color w:val="000000"/>
        </w:rPr>
        <w:t>“Scottie Go”</w:t>
      </w:r>
    </w:p>
    <w:p w:rsidR="00A447C3" w:rsidRPr="007A4E9C" w:rsidRDefault="00A447C3" w:rsidP="00A447C3">
      <w:pPr>
        <w:pStyle w:val="Sarakstarindkopa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Pulciņš, kurā p</w:t>
      </w:r>
      <w:r w:rsidRPr="007A4E9C">
        <w:rPr>
          <w:rFonts w:asciiTheme="minorHAnsi" w:hAnsiTheme="minorHAnsi" w:cstheme="minorHAnsi"/>
        </w:rPr>
        <w:t xml:space="preserve">rogrammēšanas pamatu prasmju apguve un nostiprināšana </w:t>
      </w:r>
      <w:r>
        <w:rPr>
          <w:rFonts w:asciiTheme="minorHAnsi" w:hAnsiTheme="minorHAnsi" w:cstheme="minorHAnsi"/>
        </w:rPr>
        <w:t xml:space="preserve">īstenota </w:t>
      </w:r>
      <w:r w:rsidRPr="007A4E9C">
        <w:rPr>
          <w:rFonts w:asciiTheme="minorHAnsi" w:hAnsiTheme="minorHAnsi" w:cstheme="minorHAnsi"/>
        </w:rPr>
        <w:t xml:space="preserve">ar vizuālās programmēšanas palīdzību. </w:t>
      </w:r>
      <w:r w:rsidRPr="007A4E9C">
        <w:rPr>
          <w:rFonts w:asciiTheme="minorHAnsi" w:hAnsiTheme="minorHAnsi" w:cstheme="minorHAnsi"/>
          <w:color w:val="000000"/>
        </w:rPr>
        <w:t xml:space="preserve">“Scottie Go” </w:t>
      </w:r>
      <w:r w:rsidRPr="007A4E9C">
        <w:rPr>
          <w:rFonts w:asciiTheme="minorHAnsi" w:hAnsiTheme="minorHAnsi" w:cstheme="minorHAnsi"/>
        </w:rPr>
        <w:t>programmēšanas prasmju nostiprināšana attīsta izglītojamo loģisko domāšanu, kā arī sniedz iespēju vieglāk apgūt arī tekstuālo programmēšanu.</w:t>
      </w:r>
      <w:r>
        <w:rPr>
          <w:rFonts w:asciiTheme="minorHAnsi" w:hAnsiTheme="minorHAnsi" w:cstheme="minorHAnsi"/>
        </w:rPr>
        <w:t xml:space="preserve"> Radošā darbošanās notiek ar “Scottie Go” mācību materiāliem un planšetēm. </w:t>
      </w:r>
    </w:p>
    <w:p w:rsidR="00A447C3" w:rsidRDefault="00A447C3" w:rsidP="00A447C3">
      <w:pPr>
        <w:pStyle w:val="Sarakstarindkopa1"/>
        <w:spacing w:after="0" w:line="240" w:lineRule="auto"/>
        <w:ind w:left="1080"/>
        <w:jc w:val="both"/>
        <w:rPr>
          <w:rFonts w:asciiTheme="minorHAnsi" w:hAnsiTheme="minorHAnsi" w:cstheme="minorHAnsi"/>
          <w:b/>
        </w:rPr>
      </w:pPr>
    </w:p>
    <w:p w:rsidR="00A447C3" w:rsidRPr="007A4E9C" w:rsidRDefault="00A447C3" w:rsidP="00A447C3">
      <w:pPr>
        <w:pStyle w:val="Sarakstarindkopa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7A4E9C">
        <w:rPr>
          <w:rFonts w:asciiTheme="minorHAnsi" w:hAnsiTheme="minorHAnsi" w:cstheme="minorHAnsi"/>
          <w:b/>
        </w:rPr>
        <w:t>‘’Ēd veselīgi!’’</w:t>
      </w:r>
    </w:p>
    <w:p w:rsidR="00A447C3" w:rsidRPr="007A4E9C" w:rsidRDefault="00A447C3" w:rsidP="00A447C3">
      <w:pPr>
        <w:pStyle w:val="Sarakstarindkopa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Pulciņš, kas </w:t>
      </w:r>
      <w:r w:rsidRPr="007A4E9C">
        <w:rPr>
          <w:rFonts w:asciiTheme="minorHAnsi" w:hAnsiTheme="minorHAnsi" w:cstheme="minorHAnsi"/>
        </w:rPr>
        <w:t xml:space="preserve">rosina </w:t>
      </w:r>
      <w:r>
        <w:rPr>
          <w:rFonts w:asciiTheme="minorHAnsi" w:hAnsiTheme="minorHAnsi" w:cstheme="minorHAnsi"/>
        </w:rPr>
        <w:t>skolēnus</w:t>
      </w:r>
      <w:r w:rsidRPr="007A4E9C">
        <w:rPr>
          <w:rFonts w:asciiTheme="minorHAnsi" w:hAnsiTheme="minorHAnsi" w:cstheme="minorHAnsi"/>
        </w:rPr>
        <w:t xml:space="preserve"> domāt par vese</w:t>
      </w:r>
      <w:r>
        <w:rPr>
          <w:rFonts w:asciiTheme="minorHAnsi" w:hAnsiTheme="minorHAnsi" w:cstheme="minorHAnsi"/>
        </w:rPr>
        <w:t>līgas ēšanas paradumu veidošanu un nostiprināšanu. Tā galvenais mērķis ir v</w:t>
      </w:r>
      <w:r w:rsidRPr="007A4E9C">
        <w:rPr>
          <w:rFonts w:asciiTheme="minorHAnsi" w:hAnsiTheme="minorHAnsi" w:cstheme="minorHAnsi"/>
        </w:rPr>
        <w:t>eicināt skolēnu interesi par veselīgu uzturu, pilnveidot prasmes veselīgu ēdienu gatavošanā.</w:t>
      </w:r>
      <w:r>
        <w:rPr>
          <w:rFonts w:asciiTheme="minorHAnsi" w:hAnsiTheme="minorHAnsi" w:cstheme="minorHAnsi"/>
        </w:rPr>
        <w:t xml:space="preserve"> Veicot dažādus praktiskus uzdevumus, skolēni attīsta </w:t>
      </w:r>
      <w:r w:rsidRPr="007A4E9C">
        <w:rPr>
          <w:rFonts w:asciiTheme="minorHAnsi" w:hAnsiTheme="minorHAnsi" w:cstheme="minorHAnsi"/>
        </w:rPr>
        <w:t>vese</w:t>
      </w:r>
      <w:r>
        <w:rPr>
          <w:rFonts w:asciiTheme="minorHAnsi" w:hAnsiTheme="minorHAnsi" w:cstheme="minorHAnsi"/>
        </w:rPr>
        <w:t xml:space="preserve">līga uztura paradumu veidošanos, </w:t>
      </w:r>
      <w:r w:rsidRPr="007A4E9C">
        <w:rPr>
          <w:rFonts w:asciiTheme="minorHAnsi" w:hAnsiTheme="minorHAnsi" w:cstheme="minorHAnsi"/>
        </w:rPr>
        <w:t xml:space="preserve">prasmi </w:t>
      </w:r>
      <w:r>
        <w:rPr>
          <w:rFonts w:asciiTheme="minorHAnsi" w:hAnsiTheme="minorHAnsi" w:cstheme="minorHAnsi"/>
        </w:rPr>
        <w:t xml:space="preserve">pašiem patstāvīgi </w:t>
      </w:r>
      <w:r w:rsidRPr="007A4E9C">
        <w:rPr>
          <w:rFonts w:asciiTheme="minorHAnsi" w:hAnsiTheme="minorHAnsi" w:cstheme="minorHAnsi"/>
        </w:rPr>
        <w:t>gatavot un noformēt ēdienu</w:t>
      </w:r>
      <w:r>
        <w:rPr>
          <w:rFonts w:asciiTheme="minorHAnsi" w:hAnsiTheme="minorHAnsi" w:cstheme="minorHAnsi"/>
        </w:rPr>
        <w:t>, iepazīt citu tautu virtuvi, kā arī nostiprina zināšanas par Latviskiem ēdieniem</w:t>
      </w:r>
      <w:r w:rsidRPr="007A4E9C">
        <w:rPr>
          <w:rFonts w:asciiTheme="minorHAnsi" w:hAnsiTheme="minorHAnsi" w:cstheme="minorHAnsi"/>
        </w:rPr>
        <w:t>.</w:t>
      </w:r>
    </w:p>
    <w:p w:rsidR="00A447C3" w:rsidRPr="007A4E9C" w:rsidRDefault="00A447C3" w:rsidP="00A447C3">
      <w:pPr>
        <w:pStyle w:val="Sarakstarindkopa1"/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:rsidR="00A447C3" w:rsidRPr="007A4E9C" w:rsidRDefault="00A447C3" w:rsidP="00A447C3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“</w:t>
      </w:r>
      <w:r w:rsidRPr="007A4E9C">
        <w:rPr>
          <w:rFonts w:cstheme="minorHAnsi"/>
          <w:b/>
        </w:rPr>
        <w:t>Tautiskās dejas</w:t>
      </w:r>
      <w:r>
        <w:rPr>
          <w:rFonts w:cstheme="minorHAnsi"/>
          <w:b/>
        </w:rPr>
        <w:t>”</w:t>
      </w:r>
      <w:r w:rsidRPr="007A4E9C">
        <w:rPr>
          <w:rFonts w:cstheme="minorHAnsi"/>
          <w:b/>
        </w:rPr>
        <w:t xml:space="preserve"> 1-3.kl</w:t>
      </w:r>
      <w:r>
        <w:rPr>
          <w:rFonts w:cstheme="minorHAnsi"/>
          <w:b/>
        </w:rPr>
        <w:t>.</w:t>
      </w:r>
    </w:p>
    <w:p w:rsidR="00A447C3" w:rsidRPr="007A4E9C" w:rsidRDefault="00A447C3" w:rsidP="00A447C3">
      <w:pPr>
        <w:pStyle w:val="Sarakstarindkopa1"/>
        <w:spacing w:after="0" w:line="240" w:lineRule="auto"/>
        <w:ind w:left="0"/>
        <w:jc w:val="both"/>
        <w:rPr>
          <w:rStyle w:val="markedcontent"/>
          <w:rFonts w:asciiTheme="minorHAnsi" w:hAnsiTheme="minorHAnsi" w:cstheme="minorHAnsi"/>
        </w:rPr>
      </w:pPr>
      <w:r w:rsidRPr="007A4E9C">
        <w:rPr>
          <w:rStyle w:val="markedcontent"/>
          <w:rFonts w:asciiTheme="minorHAnsi" w:hAnsiTheme="minorHAnsi" w:cstheme="minorHAnsi"/>
        </w:rPr>
        <w:t>Viens no svarīgākajiem bērnu darbības veidiem ir kustība, līdz ar to arī deja. Tā spēj</w:t>
      </w:r>
      <w:r w:rsidRPr="007A4E9C">
        <w:rPr>
          <w:rFonts w:asciiTheme="minorHAnsi" w:hAnsiTheme="minorHAnsi" w:cstheme="minorHAnsi"/>
        </w:rPr>
        <w:br/>
      </w:r>
      <w:r w:rsidRPr="007A4E9C">
        <w:rPr>
          <w:rStyle w:val="markedcontent"/>
          <w:rFonts w:asciiTheme="minorHAnsi" w:hAnsiTheme="minorHAnsi" w:cstheme="minorHAnsi"/>
        </w:rPr>
        <w:t>uzlabot gaitu un stāju, palīdz pārvarēt neticību sev, trenē prasmi uzstāties auditorijas priekšā.</w:t>
      </w:r>
    </w:p>
    <w:p w:rsidR="00A447C3" w:rsidRPr="007A4E9C" w:rsidRDefault="00A447C3" w:rsidP="00A447C3">
      <w:pPr>
        <w:pStyle w:val="Sarakstarindkopa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7A4E9C">
        <w:rPr>
          <w:rStyle w:val="markedcontent"/>
          <w:rFonts w:asciiTheme="minorHAnsi" w:hAnsiTheme="minorHAnsi" w:cstheme="minorHAnsi"/>
        </w:rPr>
        <w:t>Tautas deju pulciņa programma paredz, ka apgūstot latviešu tautas dejas</w:t>
      </w:r>
      <w:r w:rsidRPr="007A4E9C">
        <w:rPr>
          <w:rFonts w:asciiTheme="minorHAnsi" w:hAnsiTheme="minorHAnsi" w:cstheme="minorHAnsi"/>
        </w:rPr>
        <w:br/>
      </w:r>
      <w:r w:rsidRPr="007A4E9C">
        <w:rPr>
          <w:rStyle w:val="markedcontent"/>
          <w:rFonts w:asciiTheme="minorHAnsi" w:hAnsiTheme="minorHAnsi" w:cstheme="minorHAnsi"/>
        </w:rPr>
        <w:t>pamatelementus bērni varēs apgūt latviešu tautas deju prasmi un uzstāties svētku</w:t>
      </w:r>
      <w:r w:rsidRPr="007A4E9C">
        <w:rPr>
          <w:rFonts w:asciiTheme="minorHAnsi" w:hAnsiTheme="minorHAnsi" w:cstheme="minorHAnsi"/>
        </w:rPr>
        <w:br/>
      </w:r>
      <w:r w:rsidRPr="007A4E9C">
        <w:rPr>
          <w:rStyle w:val="markedcontent"/>
          <w:rFonts w:asciiTheme="minorHAnsi" w:hAnsiTheme="minorHAnsi" w:cstheme="minorHAnsi"/>
        </w:rPr>
        <w:t>pasākumos.</w:t>
      </w:r>
    </w:p>
    <w:p w:rsidR="00A447C3" w:rsidRPr="007A4E9C" w:rsidRDefault="00A447C3" w:rsidP="00A447C3">
      <w:pPr>
        <w:spacing w:line="240" w:lineRule="auto"/>
        <w:rPr>
          <w:rFonts w:cstheme="minorHAnsi"/>
        </w:rPr>
      </w:pPr>
    </w:p>
    <w:p w:rsidR="00A447C3" w:rsidRPr="00A447C3" w:rsidRDefault="00A447C3" w:rsidP="00A447C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A447C3" w:rsidRPr="00A447C3">
      <w:pgSz w:w="11909" w:h="16834"/>
      <w:pgMar w:top="1440" w:right="1440" w:bottom="94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49"/>
    <w:rsid w:val="000B0B49"/>
    <w:rsid w:val="00A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940F"/>
  <w15:docId w15:val="{C7AFC33E-191E-4E51-A148-994A6E15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arakstarindkopa1">
    <w:name w:val="Saraksta rindkopa1"/>
    <w:basedOn w:val="Normal"/>
    <w:uiPriority w:val="34"/>
    <w:qFormat/>
    <w:rsid w:val="00A447C3"/>
    <w:pPr>
      <w:spacing w:after="200"/>
      <w:ind w:left="720"/>
      <w:contextualSpacing/>
    </w:pPr>
    <w:rPr>
      <w:rFonts w:ascii="Calibri" w:eastAsia="Calibri" w:hAnsi="Calibri" w:cs="Times New Roman"/>
      <w:lang w:val="lv-LV" w:eastAsia="en-US"/>
    </w:rPr>
  </w:style>
  <w:style w:type="character" w:customStyle="1" w:styleId="markedcontent">
    <w:name w:val="markedcontent"/>
    <w:basedOn w:val="DefaultParagraphFont"/>
    <w:rsid w:val="00A4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1833</Words>
  <Characters>1046</Characters>
  <Application>Microsoft Office Word</Application>
  <DocSecurity>0</DocSecurity>
  <Lines>8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2023-01-23T09:15:00Z</dcterms:created>
  <dcterms:modified xsi:type="dcterms:W3CDTF">2023-01-23T09:18:00Z</dcterms:modified>
</cp:coreProperties>
</file>